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036" w:rsidRDefault="008E4F71">
      <w:pPr>
        <w:spacing w:line="500" w:lineRule="exact"/>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附录四</w:t>
      </w:r>
    </w:p>
    <w:p w:rsidR="00643036" w:rsidRDefault="008E4F71">
      <w:pPr>
        <w:spacing w:line="360" w:lineRule="auto"/>
        <w:jc w:val="center"/>
        <w:rPr>
          <w:b/>
          <w:bCs/>
          <w:sz w:val="32"/>
          <w:szCs w:val="32"/>
        </w:rPr>
      </w:pPr>
      <w:r>
        <w:rPr>
          <w:rFonts w:hint="eastAsia"/>
          <w:b/>
          <w:bCs/>
          <w:sz w:val="32"/>
          <w:szCs w:val="32"/>
        </w:rPr>
        <w:t>教学服务与管理标准体系编制说明</w:t>
      </w:r>
    </w:p>
    <w:p w:rsidR="00643036" w:rsidRDefault="008E4F71">
      <w:pPr>
        <w:spacing w:line="360" w:lineRule="auto"/>
        <w:ind w:firstLineChars="200" w:firstLine="480"/>
      </w:pPr>
      <w:r>
        <w:rPr>
          <w:rFonts w:hint="eastAsia"/>
        </w:rPr>
        <w:t>为了更好地开展教学服务与管理国家级服务业标准化试点工作，进一步落实与促进学校教育教学管理服务工作的规范化、科学化和数字化，结合浙江旅游职业学院实际，特制定教学服务与管理标准体系编制说明。</w:t>
      </w:r>
    </w:p>
    <w:p w:rsidR="00643036" w:rsidRDefault="008E4F71">
      <w:pPr>
        <w:numPr>
          <w:ilvl w:val="0"/>
          <w:numId w:val="1"/>
        </w:numPr>
        <w:spacing w:line="360" w:lineRule="auto"/>
        <w:jc w:val="left"/>
        <w:rPr>
          <w:b/>
          <w:bCs/>
        </w:rPr>
      </w:pPr>
      <w:r>
        <w:rPr>
          <w:rFonts w:hint="eastAsia"/>
          <w:b/>
          <w:bCs/>
        </w:rPr>
        <w:t>标准体系构建背景</w:t>
      </w:r>
    </w:p>
    <w:p w:rsidR="00643036" w:rsidRDefault="008E4F71">
      <w:pPr>
        <w:spacing w:line="360" w:lineRule="auto"/>
        <w:ind w:firstLineChars="200" w:firstLine="480"/>
      </w:pPr>
      <w:r>
        <w:rPr>
          <w:rFonts w:hint="eastAsia"/>
        </w:rPr>
        <w:t>实施标准化战略已经成为世界各国的共同趋势，我国标准化战略为教育标准化指出了改革方向，提出了更高要求。新形势下的教育标准化改革需在国家标准化战略中找准定位，在夯实基础、建立体系以及创新机制等领域实施重点突破。教学服务与管理标准化是提升学校教学服务水平与管理效能、培养有社会之责任、敬业之精神、博爱之胸怀、国际之视野的旅游英才的重要抓手。通过教学服务与管理标准化试点工作，推动旅游职业教育教学</w:t>
      </w:r>
      <w:r>
        <w:t>“</w:t>
      </w:r>
      <w:r>
        <w:t>规范化、科学化、数字化</w:t>
      </w:r>
      <w:r>
        <w:t>”</w:t>
      </w:r>
      <w:r>
        <w:t>发展，高质量推进</w:t>
      </w:r>
      <w:r>
        <w:rPr>
          <w:rFonts w:hint="eastAsia"/>
        </w:rPr>
        <w:t>浙江旅游职业学院</w:t>
      </w:r>
      <w:r>
        <w:t>“</w:t>
      </w:r>
      <w:r>
        <w:t>双高</w:t>
      </w:r>
      <w:r>
        <w:t>”</w:t>
      </w:r>
      <w:r>
        <w:t>建设</w:t>
      </w:r>
      <w:r>
        <w:rPr>
          <w:rFonts w:hint="eastAsia"/>
        </w:rPr>
        <w:t>，</w:t>
      </w:r>
      <w:r>
        <w:t>为全国旅游职业教育教学工作提供借鉴与参考。</w:t>
      </w:r>
    </w:p>
    <w:p w:rsidR="00643036" w:rsidRDefault="008E4F71">
      <w:pPr>
        <w:numPr>
          <w:ilvl w:val="0"/>
          <w:numId w:val="1"/>
        </w:numPr>
        <w:spacing w:line="360" w:lineRule="auto"/>
        <w:jc w:val="left"/>
        <w:rPr>
          <w:b/>
          <w:bCs/>
        </w:rPr>
      </w:pPr>
      <w:r>
        <w:rPr>
          <w:rFonts w:hint="eastAsia"/>
          <w:b/>
          <w:bCs/>
        </w:rPr>
        <w:t>标准体系</w:t>
      </w:r>
      <w:r>
        <w:rPr>
          <w:rFonts w:hint="eastAsia"/>
          <w:b/>
          <w:bCs/>
        </w:rPr>
        <w:t>构建目标、构建依据及实施原则</w:t>
      </w:r>
    </w:p>
    <w:p w:rsidR="00643036" w:rsidRDefault="008E4F71">
      <w:pPr>
        <w:numPr>
          <w:ilvl w:val="0"/>
          <w:numId w:val="2"/>
        </w:numPr>
        <w:spacing w:line="360" w:lineRule="auto"/>
        <w:jc w:val="left"/>
        <w:rPr>
          <w:b/>
          <w:bCs/>
        </w:rPr>
      </w:pPr>
      <w:r>
        <w:rPr>
          <w:rFonts w:hint="eastAsia"/>
          <w:b/>
          <w:bCs/>
        </w:rPr>
        <w:t>构建目标</w:t>
      </w:r>
    </w:p>
    <w:p w:rsidR="00643036" w:rsidRDefault="008E4F71">
      <w:pPr>
        <w:spacing w:line="360" w:lineRule="auto"/>
        <w:ind w:firstLineChars="200" w:firstLine="480"/>
        <w:rPr>
          <w:b/>
          <w:bCs/>
        </w:rPr>
      </w:pPr>
      <w:r>
        <w:rPr>
          <w:rFonts w:hint="eastAsia"/>
        </w:rPr>
        <w:t>以习近平新时代中国特色社会主义思想为指引，全面贯彻党的教育方针，落实立德树人根本任务，以学生发展为根本，以促进学校治理体系和治理能力现代化、全面提升学校育人质量和办学品质为目标，对接职业教育国家教学标准体系，全面构建和优化具有旅游职业教育特色的教学服务与管理标准体系。以开展国家级服务业标准化试点工作为契机，初步建立教学服务与管理标准化长效工作机制，全面提升教学服务和管理水平。</w:t>
      </w:r>
    </w:p>
    <w:p w:rsidR="00643036" w:rsidRDefault="008E4F71">
      <w:pPr>
        <w:numPr>
          <w:ilvl w:val="0"/>
          <w:numId w:val="2"/>
        </w:numPr>
        <w:spacing w:line="360" w:lineRule="auto"/>
        <w:jc w:val="left"/>
        <w:rPr>
          <w:b/>
          <w:bCs/>
        </w:rPr>
      </w:pPr>
      <w:r>
        <w:rPr>
          <w:rFonts w:hint="eastAsia"/>
          <w:b/>
          <w:bCs/>
        </w:rPr>
        <w:t>构建依据</w:t>
      </w:r>
    </w:p>
    <w:p w:rsidR="00643036" w:rsidRDefault="008E4F71">
      <w:pPr>
        <w:spacing w:line="360" w:lineRule="auto"/>
        <w:ind w:firstLineChars="200" w:firstLine="480"/>
      </w:pPr>
      <w:r>
        <w:rPr>
          <w:rFonts w:hint="eastAsia"/>
        </w:rPr>
        <w:t>标准构建</w:t>
      </w:r>
      <w:r>
        <w:t>依据《中华人民共和国标准化法》</w:t>
      </w:r>
      <w:r>
        <w:rPr>
          <w:rFonts w:hint="eastAsia"/>
        </w:rPr>
        <w:t>等标准化方针目标</w:t>
      </w:r>
      <w:r>
        <w:t>、</w:t>
      </w:r>
      <w:r>
        <w:rPr>
          <w:rFonts w:hint="eastAsia"/>
        </w:rPr>
        <w:t>教学服务与管理</w:t>
      </w:r>
      <w:r>
        <w:t>相关领域法律</w:t>
      </w:r>
      <w:r>
        <w:t>、法规</w:t>
      </w:r>
      <w:r>
        <w:rPr>
          <w:rFonts w:hint="eastAsia"/>
        </w:rPr>
        <w:t>及政策文件、《</w:t>
      </w:r>
      <w:r>
        <w:t>服务业组织标准化工作指南</w:t>
      </w:r>
      <w:r>
        <w:rPr>
          <w:rFonts w:hint="eastAsia"/>
        </w:rPr>
        <w:t>》（</w:t>
      </w:r>
      <w:r>
        <w:t>GB/T 24421-</w:t>
      </w:r>
      <w:r>
        <w:rPr>
          <w:rFonts w:hint="eastAsia"/>
        </w:rPr>
        <w:t>2023</w:t>
      </w:r>
      <w:r>
        <w:rPr>
          <w:rFonts w:hint="eastAsia"/>
        </w:rPr>
        <w:t>）等指导标准。</w:t>
      </w:r>
    </w:p>
    <w:p w:rsidR="00643036" w:rsidRDefault="008E4F71">
      <w:pPr>
        <w:numPr>
          <w:ilvl w:val="0"/>
          <w:numId w:val="2"/>
        </w:numPr>
        <w:spacing w:line="360" w:lineRule="auto"/>
        <w:jc w:val="left"/>
        <w:rPr>
          <w:b/>
          <w:bCs/>
        </w:rPr>
      </w:pPr>
      <w:r>
        <w:rPr>
          <w:rFonts w:hint="eastAsia"/>
          <w:b/>
          <w:bCs/>
        </w:rPr>
        <w:t>实施原则</w:t>
      </w:r>
    </w:p>
    <w:p w:rsidR="00643036" w:rsidRDefault="008E4F71">
      <w:pPr>
        <w:spacing w:line="360" w:lineRule="auto"/>
        <w:ind w:firstLineChars="200" w:firstLine="480"/>
      </w:pPr>
      <w:r>
        <w:t>标准体系</w:t>
      </w:r>
      <w:r>
        <w:rPr>
          <w:rFonts w:hint="eastAsia"/>
        </w:rPr>
        <w:t>实施原则</w:t>
      </w:r>
      <w:r>
        <w:t>兼顾全面性、适用性、操作性。</w:t>
      </w:r>
    </w:p>
    <w:p w:rsidR="00643036" w:rsidRDefault="008E4F71">
      <w:pPr>
        <w:numPr>
          <w:ilvl w:val="0"/>
          <w:numId w:val="3"/>
        </w:numPr>
        <w:spacing w:line="360" w:lineRule="auto"/>
        <w:ind w:firstLineChars="200" w:firstLine="480"/>
      </w:pPr>
      <w:r>
        <w:rPr>
          <w:rFonts w:hint="eastAsia"/>
        </w:rPr>
        <w:t>全面性。</w:t>
      </w:r>
      <w:r>
        <w:t>标准体系以覆盖教学全过程脉络为基础</w:t>
      </w:r>
      <w:r>
        <w:rPr>
          <w:rFonts w:hint="eastAsia"/>
        </w:rPr>
        <w:t>，综合学校、教师、学</w:t>
      </w:r>
      <w:r>
        <w:rPr>
          <w:rFonts w:hint="eastAsia"/>
        </w:rPr>
        <w:lastRenderedPageBreak/>
        <w:t>生、社会等多方</w:t>
      </w:r>
      <w:r>
        <w:t>需求</w:t>
      </w:r>
      <w:r>
        <w:rPr>
          <w:rFonts w:hint="eastAsia"/>
        </w:rPr>
        <w:t>，</w:t>
      </w:r>
      <w:r>
        <w:t>涵盖教学服务与管理相关领域法律法规、规章和适用规范性文件及有关国家标准、行业标准、地方标准</w:t>
      </w:r>
      <w:r>
        <w:rPr>
          <w:rFonts w:hint="eastAsia"/>
        </w:rPr>
        <w:t>、团体标准、学校标准。且面向学校所有二级学院（部）推进教学服务与管理标准化建设，确保标准化工作全员、全要素、全过程覆盖。</w:t>
      </w:r>
    </w:p>
    <w:p w:rsidR="00643036" w:rsidRDefault="008E4F71">
      <w:pPr>
        <w:numPr>
          <w:ilvl w:val="0"/>
          <w:numId w:val="3"/>
        </w:numPr>
        <w:spacing w:line="360" w:lineRule="auto"/>
        <w:ind w:firstLineChars="200" w:firstLine="480"/>
      </w:pPr>
      <w:r>
        <w:t>适用性。引入</w:t>
      </w:r>
      <w:r>
        <w:rPr>
          <w:rFonts w:hint="eastAsia"/>
        </w:rPr>
        <w:t>教学服务与</w:t>
      </w:r>
      <w:r>
        <w:t>管理人员和标准化专家一同研制构建标准体系，结合</w:t>
      </w:r>
      <w:r>
        <w:t>学校</w:t>
      </w:r>
      <w:r>
        <w:t>“</w:t>
      </w:r>
      <w:r>
        <w:t>双高</w:t>
      </w:r>
      <w:r>
        <w:t>”</w:t>
      </w:r>
      <w:r>
        <w:t>建设任务和教学管理工作实际情况，突出教学服务与管理重点领域和关键环节，</w:t>
      </w:r>
      <w:r>
        <w:rPr>
          <w:rFonts w:hint="eastAsia"/>
        </w:rPr>
        <w:t>强调</w:t>
      </w:r>
      <w:r>
        <w:t>旅游职业教育特色与优势，发挥标准化试点的引领示范作用，逐步实现新时代学校教学服务与管理的意识创新、机制创新、方法创新和成果创新，成为全国高等职业教育旅游大类专业提高教学服务与管理水平可参考和借鉴的典型样板。</w:t>
      </w:r>
    </w:p>
    <w:p w:rsidR="00643036" w:rsidRDefault="008E4F71">
      <w:pPr>
        <w:numPr>
          <w:ilvl w:val="0"/>
          <w:numId w:val="3"/>
        </w:numPr>
        <w:spacing w:line="360" w:lineRule="auto"/>
        <w:ind w:firstLineChars="200" w:firstLine="480"/>
        <w:rPr>
          <w:b/>
          <w:bCs/>
        </w:rPr>
      </w:pPr>
      <w:r>
        <w:rPr>
          <w:rFonts w:hint="eastAsia"/>
        </w:rPr>
        <w:t>可操作性。成立以学校主要领导为组长、相关部门和二级学院为成员的标准化工作领导小组，形成以教务处牵头统筹、相关职能部门协同联动、二级学院落实推进为主要手段的标准化工作机制</w:t>
      </w:r>
      <w:r>
        <w:t>，持续开展标准化工作宣传与培训，指导各职能部门、二</w:t>
      </w:r>
      <w:r>
        <w:t>级学院（部）根据计划推进标准实施，确保体系标准真正落地。</w:t>
      </w:r>
    </w:p>
    <w:p w:rsidR="00643036" w:rsidRDefault="008E4F71">
      <w:pPr>
        <w:numPr>
          <w:ilvl w:val="0"/>
          <w:numId w:val="1"/>
        </w:numPr>
        <w:spacing w:line="360" w:lineRule="auto"/>
        <w:jc w:val="left"/>
        <w:rPr>
          <w:b/>
          <w:bCs/>
        </w:rPr>
      </w:pPr>
      <w:r>
        <w:rPr>
          <w:rFonts w:hint="eastAsia"/>
          <w:b/>
          <w:bCs/>
        </w:rPr>
        <w:t>各级子体系划分原则、依据及说明</w:t>
      </w:r>
    </w:p>
    <w:p w:rsidR="00643036" w:rsidRDefault="008E4F71">
      <w:pPr>
        <w:spacing w:line="360" w:lineRule="auto"/>
        <w:ind w:firstLineChars="200" w:firstLine="480"/>
      </w:pPr>
      <w:r>
        <w:t>标准体系与服务业组织愿景、使命、价值观、战略、方针与目标、标准化规划相符</w:t>
      </w:r>
      <w:r>
        <w:rPr>
          <w:rFonts w:hint="eastAsia"/>
        </w:rPr>
        <w:t>，本标准体系结构参考《服务业组织标准化工作指南</w:t>
      </w:r>
      <w:r>
        <w:rPr>
          <w:rFonts w:hint="eastAsia"/>
        </w:rPr>
        <w:t xml:space="preserve"> </w:t>
      </w:r>
      <w:r>
        <w:rPr>
          <w:rFonts w:hint="eastAsia"/>
        </w:rPr>
        <w:t>第</w:t>
      </w:r>
      <w:r>
        <w:rPr>
          <w:rFonts w:hint="eastAsia"/>
        </w:rPr>
        <w:t>2</w:t>
      </w:r>
      <w:r>
        <w:rPr>
          <w:rFonts w:hint="eastAsia"/>
        </w:rPr>
        <w:t>部分：标准体系构建》</w:t>
      </w:r>
      <w:r>
        <w:rPr>
          <w:rFonts w:hint="eastAsia"/>
        </w:rPr>
        <w:t>(GB/T 24421.2-2023)</w:t>
      </w:r>
      <w:r>
        <w:rPr>
          <w:rFonts w:hint="eastAsia"/>
        </w:rPr>
        <w:t>，分别形成教学服务与管理标准体系总体结构图、</w:t>
      </w:r>
      <w:r>
        <w:rPr>
          <w:rFonts w:hint="eastAsia"/>
        </w:rPr>
        <w:t>服务通用基础标准体系结构图、服务提供标准体系结构图、服务保障标准体系结构图、</w:t>
      </w:r>
      <w:r>
        <w:rPr>
          <w:rFonts w:hint="eastAsia"/>
          <w:lang w:eastAsia="zh-Hans"/>
        </w:rPr>
        <w:t>综合</w:t>
      </w:r>
      <w:r>
        <w:rPr>
          <w:rFonts w:hint="eastAsia"/>
        </w:rPr>
        <w:t>管理标准体系结构图</w:t>
      </w:r>
      <w:r>
        <w:rPr>
          <w:rFonts w:hint="eastAsia"/>
        </w:rPr>
        <w:t>。</w:t>
      </w:r>
    </w:p>
    <w:p w:rsidR="00643036" w:rsidRDefault="008E4F71">
      <w:pPr>
        <w:spacing w:line="360" w:lineRule="auto"/>
        <w:ind w:firstLineChars="200" w:firstLine="480"/>
      </w:pPr>
      <w:r>
        <w:rPr>
          <w:rFonts w:hint="eastAsia"/>
        </w:rPr>
        <w:t>本标准体系全面成套，层次恰当，划分明确，覆盖</w:t>
      </w:r>
      <w:r>
        <w:rPr>
          <w:rFonts w:hint="eastAsia"/>
        </w:rPr>
        <w:t xml:space="preserve">GB/T </w:t>
      </w:r>
      <w:r>
        <w:rPr>
          <w:rFonts w:hint="eastAsia"/>
        </w:rPr>
        <w:t>24421.2-2023</w:t>
      </w:r>
      <w:r>
        <w:rPr>
          <w:rFonts w:hint="eastAsia"/>
        </w:rPr>
        <w:t>各级子体系要素，根据学校教学服务与管理实际工作情况，对各级子体系进行分解、组合。</w:t>
      </w:r>
    </w:p>
    <w:p w:rsidR="00643036" w:rsidRDefault="008E4F71">
      <w:pPr>
        <w:spacing w:line="360" w:lineRule="auto"/>
      </w:pPr>
      <w:r>
        <w:rPr>
          <w:noProof/>
        </w:rPr>
        <w:lastRenderedPageBreak/>
        <w:drawing>
          <wp:inline distT="0" distB="0" distL="114300" distR="114300">
            <wp:extent cx="5246370" cy="2019935"/>
            <wp:effectExtent l="0" t="0" r="0" b="0"/>
            <wp:docPr id="2" name="图片 2" descr="教学服务与管理标准体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教学服务与管理标准体系"/>
                    <pic:cNvPicPr>
                      <a:picLocks noChangeAspect="1"/>
                    </pic:cNvPicPr>
                  </pic:nvPicPr>
                  <pic:blipFill>
                    <a:blip r:embed="rId7"/>
                    <a:stretch>
                      <a:fillRect/>
                    </a:stretch>
                  </pic:blipFill>
                  <pic:spPr>
                    <a:xfrm>
                      <a:off x="0" y="0"/>
                      <a:ext cx="5246370" cy="2019935"/>
                    </a:xfrm>
                    <a:prstGeom prst="rect">
                      <a:avLst/>
                    </a:prstGeom>
                  </pic:spPr>
                </pic:pic>
              </a:graphicData>
            </a:graphic>
          </wp:inline>
        </w:drawing>
      </w:r>
    </w:p>
    <w:p w:rsidR="00643036" w:rsidRDefault="008E4F71">
      <w:pPr>
        <w:pStyle w:val="a3"/>
        <w:spacing w:line="360" w:lineRule="auto"/>
        <w:jc w:val="center"/>
      </w:pPr>
      <w:r>
        <w:t>图</w:t>
      </w:r>
      <w:r>
        <w:t xml:space="preserve"> </w:t>
      </w:r>
      <w:r>
        <w:fldChar w:fldCharType="begin"/>
      </w:r>
      <w:r>
        <w:instrText xml:space="preserve"> SEQ </w:instrText>
      </w:r>
      <w:r>
        <w:instrText>图</w:instrText>
      </w:r>
      <w:r>
        <w:instrText xml:space="preserve"> \* ARABIC </w:instrText>
      </w:r>
      <w:r>
        <w:fldChar w:fldCharType="separate"/>
      </w:r>
      <w:r w:rsidR="00207E1F">
        <w:rPr>
          <w:noProof/>
        </w:rPr>
        <w:t>1</w:t>
      </w:r>
      <w:r>
        <w:fldChar w:fldCharType="end"/>
      </w:r>
      <w:r>
        <w:rPr>
          <w:rFonts w:hint="eastAsia"/>
        </w:rPr>
        <w:t xml:space="preserve"> </w:t>
      </w:r>
      <w:r>
        <w:rPr>
          <w:rFonts w:hint="eastAsia"/>
        </w:rPr>
        <w:t>教学服务与管理标准体系表</w:t>
      </w:r>
    </w:p>
    <w:p w:rsidR="00643036" w:rsidRDefault="00643036"/>
    <w:p w:rsidR="00643036" w:rsidRDefault="008E4F71">
      <w:r>
        <w:rPr>
          <w:rFonts w:hint="eastAsia"/>
        </w:rPr>
        <w:t>本标准体系</w:t>
      </w:r>
      <w:r>
        <w:rPr>
          <w:rFonts w:hint="eastAsia"/>
        </w:rPr>
        <w:t>共纳入</w:t>
      </w:r>
      <w:r>
        <w:rPr>
          <w:rFonts w:hint="eastAsia"/>
        </w:rPr>
        <w:t xml:space="preserve">212 </w:t>
      </w:r>
      <w:r>
        <w:rPr>
          <w:rFonts w:hint="eastAsia"/>
        </w:rPr>
        <w:t>项标准，分布情况如下：</w:t>
      </w:r>
    </w:p>
    <w:p w:rsidR="00643036" w:rsidRDefault="00643036">
      <w:pPr>
        <w:pStyle w:val="a3"/>
        <w:jc w:val="center"/>
      </w:pPr>
    </w:p>
    <w:p w:rsidR="00643036" w:rsidRDefault="008E4F71">
      <w:pPr>
        <w:pStyle w:val="a3"/>
        <w:jc w:val="center"/>
      </w:pPr>
      <w:r>
        <w:t>表</w:t>
      </w:r>
      <w:r>
        <w:t xml:space="preserve"> </w:t>
      </w:r>
      <w:r>
        <w:fldChar w:fldCharType="begin"/>
      </w:r>
      <w:r>
        <w:instrText xml:space="preserve"> SEQ </w:instrText>
      </w:r>
      <w:r>
        <w:instrText>表</w:instrText>
      </w:r>
      <w:r>
        <w:instrText xml:space="preserve"> \* ARABIC </w:instrText>
      </w:r>
      <w:r>
        <w:fldChar w:fldCharType="separate"/>
      </w:r>
      <w:r w:rsidR="00207E1F">
        <w:rPr>
          <w:noProof/>
        </w:rPr>
        <w:t>1</w:t>
      </w:r>
      <w:r>
        <w:fldChar w:fldCharType="end"/>
      </w:r>
      <w:r>
        <w:rPr>
          <w:rFonts w:hint="eastAsia"/>
        </w:rPr>
        <w:t xml:space="preserve"> </w:t>
      </w:r>
      <w:r>
        <w:rPr>
          <w:rFonts w:hint="eastAsia"/>
        </w:rPr>
        <w:t>教学服务与管理标准体系标准统计表</w:t>
      </w:r>
    </w:p>
    <w:tbl>
      <w:tblPr>
        <w:tblStyle w:val="a4"/>
        <w:tblpPr w:leftFromText="180" w:rightFromText="180" w:vertAnchor="text" w:horzAnchor="page" w:tblpX="1779" w:tblpY="153"/>
        <w:tblOverlap w:val="never"/>
        <w:tblW w:w="8913" w:type="dxa"/>
        <w:tblLayout w:type="fixed"/>
        <w:tblLook w:val="04A0" w:firstRow="1" w:lastRow="0" w:firstColumn="1" w:lastColumn="0" w:noHBand="0" w:noVBand="1"/>
      </w:tblPr>
      <w:tblGrid>
        <w:gridCol w:w="1419"/>
        <w:gridCol w:w="1949"/>
        <w:gridCol w:w="1673"/>
        <w:gridCol w:w="1609"/>
        <w:gridCol w:w="1568"/>
        <w:gridCol w:w="695"/>
      </w:tblGrid>
      <w:tr w:rsidR="00643036">
        <w:tc>
          <w:tcPr>
            <w:tcW w:w="1419"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科目</w:t>
            </w:r>
          </w:p>
        </w:tc>
        <w:tc>
          <w:tcPr>
            <w:tcW w:w="1949"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服务通用基础标准</w:t>
            </w:r>
          </w:p>
        </w:tc>
        <w:tc>
          <w:tcPr>
            <w:tcW w:w="1673"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服务提供标准</w:t>
            </w:r>
          </w:p>
        </w:tc>
        <w:tc>
          <w:tcPr>
            <w:tcW w:w="1609"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服务保障标准</w:t>
            </w:r>
          </w:p>
        </w:tc>
        <w:tc>
          <w:tcPr>
            <w:tcW w:w="1568"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lang w:eastAsia="zh-Hans"/>
              </w:rPr>
              <w:t>综合</w:t>
            </w:r>
            <w:r>
              <w:rPr>
                <w:rFonts w:ascii="宋体" w:eastAsia="宋体" w:hAnsi="宋体" w:cs="宋体" w:hint="eastAsia"/>
                <w:sz w:val="21"/>
                <w:szCs w:val="21"/>
              </w:rPr>
              <w:t>管理标准</w:t>
            </w:r>
          </w:p>
        </w:tc>
        <w:tc>
          <w:tcPr>
            <w:tcW w:w="695"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合计</w:t>
            </w:r>
          </w:p>
        </w:tc>
      </w:tr>
      <w:tr w:rsidR="00643036">
        <w:tc>
          <w:tcPr>
            <w:tcW w:w="1419"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国家标准</w:t>
            </w:r>
          </w:p>
        </w:tc>
        <w:tc>
          <w:tcPr>
            <w:tcW w:w="1949"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24</w:t>
            </w:r>
          </w:p>
        </w:tc>
        <w:tc>
          <w:tcPr>
            <w:tcW w:w="1673"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5</w:t>
            </w:r>
          </w:p>
        </w:tc>
        <w:tc>
          <w:tcPr>
            <w:tcW w:w="1609"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14</w:t>
            </w:r>
          </w:p>
        </w:tc>
        <w:tc>
          <w:tcPr>
            <w:tcW w:w="1568"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7</w:t>
            </w:r>
          </w:p>
        </w:tc>
        <w:tc>
          <w:tcPr>
            <w:tcW w:w="695"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50</w:t>
            </w:r>
          </w:p>
        </w:tc>
      </w:tr>
      <w:tr w:rsidR="00643036">
        <w:tc>
          <w:tcPr>
            <w:tcW w:w="1419"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行业标准</w:t>
            </w:r>
          </w:p>
        </w:tc>
        <w:tc>
          <w:tcPr>
            <w:tcW w:w="1949"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0</w:t>
            </w:r>
          </w:p>
        </w:tc>
        <w:tc>
          <w:tcPr>
            <w:tcW w:w="1673"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6</w:t>
            </w:r>
          </w:p>
        </w:tc>
        <w:tc>
          <w:tcPr>
            <w:tcW w:w="1609"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9</w:t>
            </w:r>
          </w:p>
        </w:tc>
        <w:tc>
          <w:tcPr>
            <w:tcW w:w="1568"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0</w:t>
            </w:r>
          </w:p>
        </w:tc>
        <w:tc>
          <w:tcPr>
            <w:tcW w:w="695"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15</w:t>
            </w:r>
          </w:p>
        </w:tc>
      </w:tr>
      <w:tr w:rsidR="00643036">
        <w:tc>
          <w:tcPr>
            <w:tcW w:w="1419"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地方标准</w:t>
            </w:r>
          </w:p>
        </w:tc>
        <w:tc>
          <w:tcPr>
            <w:tcW w:w="1949"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0</w:t>
            </w:r>
          </w:p>
        </w:tc>
        <w:tc>
          <w:tcPr>
            <w:tcW w:w="1673"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0</w:t>
            </w:r>
          </w:p>
        </w:tc>
        <w:tc>
          <w:tcPr>
            <w:tcW w:w="1609"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0</w:t>
            </w:r>
          </w:p>
        </w:tc>
        <w:tc>
          <w:tcPr>
            <w:tcW w:w="1568"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0</w:t>
            </w:r>
          </w:p>
        </w:tc>
        <w:tc>
          <w:tcPr>
            <w:tcW w:w="695"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0</w:t>
            </w:r>
          </w:p>
        </w:tc>
      </w:tr>
      <w:tr w:rsidR="00643036">
        <w:tc>
          <w:tcPr>
            <w:tcW w:w="1419"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团体标准</w:t>
            </w:r>
          </w:p>
        </w:tc>
        <w:tc>
          <w:tcPr>
            <w:tcW w:w="1949"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0</w:t>
            </w:r>
          </w:p>
        </w:tc>
        <w:tc>
          <w:tcPr>
            <w:tcW w:w="1673"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0</w:t>
            </w:r>
          </w:p>
        </w:tc>
        <w:tc>
          <w:tcPr>
            <w:tcW w:w="1609"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0</w:t>
            </w:r>
          </w:p>
        </w:tc>
        <w:tc>
          <w:tcPr>
            <w:tcW w:w="1568"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0</w:t>
            </w:r>
          </w:p>
        </w:tc>
        <w:tc>
          <w:tcPr>
            <w:tcW w:w="695"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0</w:t>
            </w:r>
          </w:p>
        </w:tc>
      </w:tr>
      <w:tr w:rsidR="00643036">
        <w:tc>
          <w:tcPr>
            <w:tcW w:w="1419"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lang w:eastAsia="zh-Hans"/>
              </w:rPr>
              <w:t>学校</w:t>
            </w:r>
            <w:r>
              <w:rPr>
                <w:rFonts w:ascii="宋体" w:eastAsia="宋体" w:hAnsi="宋体" w:cs="宋体" w:hint="eastAsia"/>
                <w:sz w:val="21"/>
                <w:szCs w:val="21"/>
              </w:rPr>
              <w:t>标准</w:t>
            </w:r>
          </w:p>
        </w:tc>
        <w:tc>
          <w:tcPr>
            <w:tcW w:w="1949"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2</w:t>
            </w:r>
          </w:p>
        </w:tc>
        <w:tc>
          <w:tcPr>
            <w:tcW w:w="1673"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66</w:t>
            </w:r>
          </w:p>
        </w:tc>
        <w:tc>
          <w:tcPr>
            <w:tcW w:w="1609"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21</w:t>
            </w:r>
          </w:p>
        </w:tc>
        <w:tc>
          <w:tcPr>
            <w:tcW w:w="1568"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58</w:t>
            </w:r>
          </w:p>
        </w:tc>
        <w:tc>
          <w:tcPr>
            <w:tcW w:w="695"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147</w:t>
            </w:r>
          </w:p>
        </w:tc>
      </w:tr>
      <w:tr w:rsidR="00643036">
        <w:tc>
          <w:tcPr>
            <w:tcW w:w="1419"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合计</w:t>
            </w:r>
          </w:p>
        </w:tc>
        <w:tc>
          <w:tcPr>
            <w:tcW w:w="1949"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26</w:t>
            </w:r>
          </w:p>
        </w:tc>
        <w:tc>
          <w:tcPr>
            <w:tcW w:w="1673"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77</w:t>
            </w:r>
          </w:p>
        </w:tc>
        <w:tc>
          <w:tcPr>
            <w:tcW w:w="1609"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44</w:t>
            </w:r>
          </w:p>
        </w:tc>
        <w:tc>
          <w:tcPr>
            <w:tcW w:w="1568"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65</w:t>
            </w:r>
          </w:p>
        </w:tc>
        <w:tc>
          <w:tcPr>
            <w:tcW w:w="695" w:type="dxa"/>
            <w:vAlign w:val="center"/>
          </w:tcPr>
          <w:p w:rsidR="00643036" w:rsidRDefault="008E4F71">
            <w:pPr>
              <w:jc w:val="center"/>
              <w:rPr>
                <w:rFonts w:ascii="宋体" w:eastAsia="宋体" w:hAnsi="宋体" w:cs="宋体"/>
                <w:sz w:val="21"/>
                <w:szCs w:val="21"/>
              </w:rPr>
            </w:pPr>
            <w:r>
              <w:rPr>
                <w:rFonts w:ascii="宋体" w:eastAsia="宋体" w:hAnsi="宋体" w:cs="宋体" w:hint="eastAsia"/>
                <w:sz w:val="21"/>
                <w:szCs w:val="21"/>
              </w:rPr>
              <w:t>212</w:t>
            </w:r>
          </w:p>
        </w:tc>
      </w:tr>
    </w:tbl>
    <w:p w:rsidR="00643036" w:rsidRDefault="00643036">
      <w:pPr>
        <w:spacing w:line="360" w:lineRule="auto"/>
        <w:jc w:val="left"/>
        <w:rPr>
          <w:b/>
          <w:bCs/>
        </w:rPr>
      </w:pPr>
    </w:p>
    <w:p w:rsidR="00643036" w:rsidRDefault="008E4F71">
      <w:pPr>
        <w:numPr>
          <w:ilvl w:val="0"/>
          <w:numId w:val="1"/>
        </w:numPr>
        <w:spacing w:line="360" w:lineRule="auto"/>
        <w:jc w:val="left"/>
        <w:rPr>
          <w:b/>
          <w:bCs/>
        </w:rPr>
      </w:pPr>
      <w:r>
        <w:rPr>
          <w:rFonts w:hint="eastAsia"/>
          <w:b/>
          <w:bCs/>
        </w:rPr>
        <w:t>标准化制修订规划建议</w:t>
      </w:r>
    </w:p>
    <w:p w:rsidR="00643036" w:rsidRDefault="008E4F71">
      <w:pPr>
        <w:spacing w:line="360" w:lineRule="auto"/>
        <w:ind w:firstLineChars="200" w:firstLine="480"/>
      </w:pPr>
      <w:r>
        <w:t>现有标准与国际、国外</w:t>
      </w:r>
      <w:r>
        <w:rPr>
          <w:rFonts w:hint="eastAsia"/>
        </w:rPr>
        <w:t>存在一定的</w:t>
      </w:r>
      <w:r>
        <w:t>差距和薄弱</w:t>
      </w:r>
      <w:r>
        <w:rPr>
          <w:rFonts w:hint="eastAsia"/>
        </w:rPr>
        <w:t>，在标准的实施过程中，应对照国家标准化管理委员会《服务业标准化试点评估计分表（试行）》考核标准和学校教学服务与管理标准化试点工作各项任务进行自查整改，积极查漏补缺，开展标准化工作自我评价，形成整改意见，进一步完善已有标准体系。</w:t>
      </w:r>
    </w:p>
    <w:sectPr w:rsidR="006430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F71" w:rsidRDefault="008E4F71"/>
  </w:endnote>
  <w:endnote w:type="continuationSeparator" w:id="0">
    <w:p w:rsidR="008E4F71" w:rsidRDefault="008E4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F71" w:rsidRDefault="008E4F71"/>
  </w:footnote>
  <w:footnote w:type="continuationSeparator" w:id="0">
    <w:p w:rsidR="008E4F71" w:rsidRDefault="008E4F7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B0371C"/>
    <w:multiLevelType w:val="singleLevel"/>
    <w:tmpl w:val="BAB0371C"/>
    <w:lvl w:ilvl="0">
      <w:start w:val="1"/>
      <w:numFmt w:val="chineseCounting"/>
      <w:suff w:val="nothing"/>
      <w:lvlText w:val="（%1）"/>
      <w:lvlJc w:val="left"/>
      <w:rPr>
        <w:rFonts w:hint="eastAsia"/>
      </w:rPr>
    </w:lvl>
  </w:abstractNum>
  <w:abstractNum w:abstractNumId="1" w15:restartNumberingAfterBreak="0">
    <w:nsid w:val="C4E5E20C"/>
    <w:multiLevelType w:val="singleLevel"/>
    <w:tmpl w:val="C4E5E20C"/>
    <w:lvl w:ilvl="0">
      <w:start w:val="1"/>
      <w:numFmt w:val="chineseCounting"/>
      <w:suff w:val="nothing"/>
      <w:lvlText w:val="%1、"/>
      <w:lvlJc w:val="left"/>
      <w:rPr>
        <w:rFonts w:hint="eastAsia"/>
      </w:rPr>
    </w:lvl>
  </w:abstractNum>
  <w:abstractNum w:abstractNumId="2" w15:restartNumberingAfterBreak="0">
    <w:nsid w:val="44E34DE3"/>
    <w:multiLevelType w:val="singleLevel"/>
    <w:tmpl w:val="44E34DE3"/>
    <w:lvl w:ilvl="0">
      <w:start w:val="1"/>
      <w:numFmt w:val="decimal"/>
      <w:lvlText w:val="%1."/>
      <w:lvlJc w:val="left"/>
      <w:pPr>
        <w:tabs>
          <w:tab w:val="left" w:pos="312"/>
        </w:tabs>
      </w:pPr>
      <w:rPr>
        <w:rFonts w:hint="default"/>
        <w:b w:val="0"/>
        <w:bCs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OTM1ZmJhMTJiN2MzZTgxYTBjMDAzODY1MjMzODAifQ=="/>
  </w:docVars>
  <w:rsids>
    <w:rsidRoot w:val="20302E45"/>
    <w:rsid w:val="00207E1F"/>
    <w:rsid w:val="00643036"/>
    <w:rsid w:val="008E4F71"/>
    <w:rsid w:val="01D9415D"/>
    <w:rsid w:val="070E3AEB"/>
    <w:rsid w:val="19635939"/>
    <w:rsid w:val="1C8D47FF"/>
    <w:rsid w:val="20302E45"/>
    <w:rsid w:val="35B84688"/>
    <w:rsid w:val="3D2C7D07"/>
    <w:rsid w:val="5DEA664B"/>
    <w:rsid w:val="649E15FE"/>
    <w:rsid w:val="69797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63C066-5F6A-40DA-A765-5D0FCB1B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Pr>
      <w:rFonts w:ascii="Arial" w:eastAsia="黑体" w:hAnsi="Arial"/>
      <w:sz w:val="20"/>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dc:creator>
  <cp:lastModifiedBy>吴雪飞</cp:lastModifiedBy>
  <cp:revision>2</cp:revision>
  <dcterms:created xsi:type="dcterms:W3CDTF">2023-06-26T04:20:00Z</dcterms:created>
  <dcterms:modified xsi:type="dcterms:W3CDTF">2023-06-26T04:20:00Z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13ABBE547BB7430DACADE0FE0EA11168_11</vt:lpwstr>
  </property>
</Properties>
</file>